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74" w:rsidRPr="00EC4A08" w:rsidRDefault="00EC4A08">
      <w:pPr>
        <w:rPr>
          <w:b/>
          <w:sz w:val="28"/>
        </w:rPr>
      </w:pPr>
      <w:r w:rsidRPr="00EC4A08">
        <w:rPr>
          <w:b/>
          <w:sz w:val="28"/>
        </w:rPr>
        <w:t>Victron Energy Battery Monitor – BMV 600-602</w:t>
      </w:r>
    </w:p>
    <w:p w:rsidR="00EC4A08" w:rsidRPr="00BD7D6A" w:rsidRDefault="00EC4A08">
      <w:pPr>
        <w:rPr>
          <w:b/>
          <w:sz w:val="24"/>
        </w:rPr>
      </w:pPr>
      <w:r w:rsidRPr="00BD7D6A">
        <w:rPr>
          <w:b/>
          <w:sz w:val="24"/>
        </w:rPr>
        <w:t>Recommended settings for Solar Systems to avoid inaccurate State of Charge readings.</w:t>
      </w:r>
    </w:p>
    <w:p w:rsidR="00EC4A08" w:rsidRDefault="00EC4A08">
      <w:pPr>
        <w:rPr>
          <w:sz w:val="24"/>
        </w:rPr>
      </w:pPr>
      <w:r>
        <w:rPr>
          <w:sz w:val="24"/>
        </w:rPr>
        <w:t xml:space="preserve">Example System: </w:t>
      </w:r>
    </w:p>
    <w:p w:rsidR="00EC4A08" w:rsidRDefault="00EC4A08">
      <w:pPr>
        <w:rPr>
          <w:sz w:val="24"/>
        </w:rPr>
      </w:pPr>
      <w:r>
        <w:rPr>
          <w:sz w:val="24"/>
        </w:rPr>
        <w:t xml:space="preserve">500A/H Battery Bank </w:t>
      </w:r>
      <w:r w:rsidR="00531909">
        <w:rPr>
          <w:sz w:val="24"/>
        </w:rPr>
        <w:t>@ 12</w:t>
      </w:r>
      <w:r>
        <w:rPr>
          <w:sz w:val="24"/>
        </w:rPr>
        <w:t>V</w:t>
      </w:r>
    </w:p>
    <w:p w:rsidR="00EC4A08" w:rsidRDefault="00EC4A08">
      <w:pPr>
        <w:rPr>
          <w:sz w:val="24"/>
        </w:rPr>
      </w:pPr>
      <w:r>
        <w:rPr>
          <w:sz w:val="24"/>
        </w:rPr>
        <w:t>150/70 Blue Solar MPPT Charger</w:t>
      </w:r>
    </w:p>
    <w:p w:rsidR="0002670F" w:rsidRDefault="0002670F">
      <w:pPr>
        <w:rPr>
          <w:sz w:val="24"/>
        </w:rPr>
      </w:pPr>
      <w:r>
        <w:rPr>
          <w:sz w:val="24"/>
        </w:rPr>
        <w:t xml:space="preserve">2000W Solar Array </w:t>
      </w:r>
    </w:p>
    <w:p w:rsidR="00EC4A08" w:rsidRDefault="00EC4A08">
      <w:pPr>
        <w:rPr>
          <w:sz w:val="24"/>
        </w:rPr>
      </w:pPr>
      <w:r>
        <w:rPr>
          <w:sz w:val="24"/>
        </w:rPr>
        <w:t>BMV-600 Battery Monitor</w:t>
      </w:r>
    </w:p>
    <w:p w:rsidR="00EC4A08" w:rsidRDefault="00EC4A08">
      <w:pPr>
        <w:rPr>
          <w:sz w:val="24"/>
        </w:rPr>
      </w:pPr>
      <w:r>
        <w:rPr>
          <w:sz w:val="24"/>
        </w:rPr>
        <w:t>Normal settings in set up menu of Battery Monitor</w:t>
      </w:r>
    </w:p>
    <w:p w:rsidR="00EC4A08" w:rsidRDefault="00EC4A08" w:rsidP="00EC4A0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CB – Battery Capacity</w:t>
      </w:r>
    </w:p>
    <w:p w:rsidR="00EC4A08" w:rsidRPr="00EC4A08" w:rsidRDefault="00EC4A08" w:rsidP="00EC4A0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DF – Discharge Floor</w:t>
      </w:r>
    </w:p>
    <w:p w:rsidR="00EC4A08" w:rsidRDefault="00EC4A08">
      <w:pPr>
        <w:rPr>
          <w:sz w:val="24"/>
        </w:rPr>
      </w:pPr>
      <w:r>
        <w:rPr>
          <w:sz w:val="24"/>
        </w:rPr>
        <w:t xml:space="preserve">The rest of the default settings are usually correct for most applications where Battery Chargers are used to charge a battery bank with a Bulk-absorption-float charge characteristic. </w:t>
      </w:r>
      <w:r w:rsidR="00531909">
        <w:rPr>
          <w:sz w:val="24"/>
        </w:rPr>
        <w:t>When the battery has absorbed the charge current the charge voltage drops to float charge and char</w:t>
      </w:r>
      <w:r w:rsidR="00BD7D6A">
        <w:rPr>
          <w:sz w:val="24"/>
        </w:rPr>
        <w:t>ge current slowly drops to almost nothing.</w:t>
      </w:r>
    </w:p>
    <w:p w:rsidR="00EC4A08" w:rsidRDefault="00531909">
      <w:pPr>
        <w:rPr>
          <w:sz w:val="24"/>
        </w:rPr>
      </w:pPr>
      <w:r>
        <w:rPr>
          <w:sz w:val="24"/>
        </w:rPr>
        <w:t>In</w:t>
      </w:r>
      <w:r w:rsidR="00EC4A08">
        <w:rPr>
          <w:sz w:val="24"/>
        </w:rPr>
        <w:t xml:space="preserve"> Solar Application where charging is done via a Solar Charge Controller it is important to adjust the following sett</w:t>
      </w:r>
      <w:r>
        <w:rPr>
          <w:sz w:val="24"/>
        </w:rPr>
        <w:t>ings</w:t>
      </w:r>
      <w:r w:rsidR="00EC4A08">
        <w:rPr>
          <w:sz w:val="24"/>
        </w:rPr>
        <w:t>. With Solar Charging the charge current varies</w:t>
      </w:r>
      <w:r>
        <w:rPr>
          <w:sz w:val="24"/>
        </w:rPr>
        <w:t xml:space="preserve"> all the time which affect</w:t>
      </w:r>
      <w:r w:rsidR="00EC4A08">
        <w:rPr>
          <w:sz w:val="24"/>
        </w:rPr>
        <w:t xml:space="preserve"> the battery voltage also, the BMV monitors the Charge current and battery voltage as indicators of the state of</w:t>
      </w:r>
      <w:r>
        <w:rPr>
          <w:sz w:val="24"/>
        </w:rPr>
        <w:t xml:space="preserve"> the battery.</w:t>
      </w:r>
      <w:r w:rsidR="00EC4A08">
        <w:rPr>
          <w:sz w:val="24"/>
        </w:rPr>
        <w:t xml:space="preserve"> </w:t>
      </w:r>
    </w:p>
    <w:p w:rsidR="00EC4A08" w:rsidRDefault="00531909">
      <w:pPr>
        <w:rPr>
          <w:sz w:val="24"/>
        </w:rPr>
      </w:pPr>
      <w:r>
        <w:rPr>
          <w:sz w:val="24"/>
        </w:rPr>
        <w:t>In the Set up menu the following setting must be looked at, here is the description of each.</w:t>
      </w:r>
    </w:p>
    <w:p w:rsidR="00EC4A08" w:rsidRDefault="00EC4A08">
      <w:pPr>
        <w:rPr>
          <w:sz w:val="24"/>
        </w:rPr>
      </w:pPr>
    </w:p>
    <w:p w:rsidR="00EC4A08" w:rsidRPr="00531909" w:rsidRDefault="00EC4A08" w:rsidP="00EC4A08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  <w:proofErr w:type="spellStart"/>
      <w:proofErr w:type="gramStart"/>
      <w:r w:rsidRPr="00531909">
        <w:rPr>
          <w:rFonts w:cs="Helvetica-Bold"/>
          <w:b/>
          <w:bCs/>
          <w:szCs w:val="20"/>
        </w:rPr>
        <w:t>Vc</w:t>
      </w:r>
      <w:proofErr w:type="spellEnd"/>
      <w:proofErr w:type="gramEnd"/>
      <w:r w:rsidRPr="00531909">
        <w:rPr>
          <w:rFonts w:cs="Helvetica-Bold"/>
          <w:b/>
          <w:bCs/>
          <w:szCs w:val="20"/>
        </w:rPr>
        <w:t xml:space="preserve">: Charged voltage. </w:t>
      </w:r>
      <w:r w:rsidRPr="00531909">
        <w:rPr>
          <w:rFonts w:cs="Helvetica"/>
          <w:szCs w:val="20"/>
        </w:rPr>
        <w:t>The battery voltage must be above this voltage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level to consider the battery as fully charged. Make sure the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voltage-charged-parameter is always slightly below the voltage at</w:t>
      </w:r>
    </w:p>
    <w:p w:rsidR="00EC4A08" w:rsidRPr="00531909" w:rsidRDefault="00EC4A08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  <w:proofErr w:type="gramStart"/>
      <w:r w:rsidRPr="00531909">
        <w:rPr>
          <w:rFonts w:cs="Helvetica"/>
          <w:szCs w:val="20"/>
        </w:rPr>
        <w:t>which</w:t>
      </w:r>
      <w:proofErr w:type="gramEnd"/>
      <w:r w:rsidRPr="00531909">
        <w:rPr>
          <w:rFonts w:cs="Helvetica"/>
          <w:szCs w:val="20"/>
        </w:rPr>
        <w:t xml:space="preserve"> the charger finishes charging the battery (usually 0.1 V or 0.2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V below the ‘float’ stage voltage of the charger).</w:t>
      </w:r>
    </w:p>
    <w:p w:rsidR="00531909" w:rsidRP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</w:p>
    <w:p w:rsidR="00EC4A08" w:rsidRPr="00531909" w:rsidRDefault="00EC4A08" w:rsidP="00EC4A08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  <w:r w:rsidRPr="00531909">
        <w:rPr>
          <w:rFonts w:cs="Helvetica-Bold"/>
          <w:b/>
          <w:bCs/>
          <w:szCs w:val="20"/>
        </w:rPr>
        <w:t xml:space="preserve">It: Tail current. </w:t>
      </w:r>
      <w:r w:rsidRPr="00531909">
        <w:rPr>
          <w:rFonts w:cs="Helvetica"/>
          <w:szCs w:val="20"/>
        </w:rPr>
        <w:t>When the charge current value is below this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percentage of the battery capacity (</w:t>
      </w:r>
      <w:proofErr w:type="spellStart"/>
      <w:r w:rsidRPr="00531909">
        <w:rPr>
          <w:rFonts w:cs="Helvetica"/>
          <w:szCs w:val="20"/>
        </w:rPr>
        <w:t>Cb</w:t>
      </w:r>
      <w:proofErr w:type="spellEnd"/>
      <w:r w:rsidRPr="00531909">
        <w:rPr>
          <w:rFonts w:cs="Helvetica"/>
          <w:szCs w:val="20"/>
        </w:rPr>
        <w:t>), the battery can be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considered as fully charged. Make sure this is always greater</w:t>
      </w:r>
    </w:p>
    <w:p w:rsidR="00EC4A08" w:rsidRPr="00531909" w:rsidRDefault="00EC4A08" w:rsidP="00EC4A08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  <w:proofErr w:type="gramStart"/>
      <w:r w:rsidRPr="00531909">
        <w:rPr>
          <w:rFonts w:cs="Helvetica"/>
          <w:szCs w:val="20"/>
        </w:rPr>
        <w:t>than</w:t>
      </w:r>
      <w:proofErr w:type="gramEnd"/>
      <w:r w:rsidRPr="00531909">
        <w:rPr>
          <w:rFonts w:cs="Helvetica"/>
          <w:szCs w:val="20"/>
        </w:rPr>
        <w:t xml:space="preserve"> the minimum current at which the charger maintains the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battery, or stops charging.</w:t>
      </w:r>
    </w:p>
    <w:p w:rsidR="00EC4A08" w:rsidRPr="00531909" w:rsidRDefault="00EC4A08" w:rsidP="00EC4A08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</w:p>
    <w:p w:rsidR="00EC4A08" w:rsidRDefault="00EC4A08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  <w:proofErr w:type="spellStart"/>
      <w:r w:rsidRPr="00531909">
        <w:rPr>
          <w:rFonts w:cs="Helvetica-Bold"/>
          <w:b/>
          <w:bCs/>
          <w:szCs w:val="20"/>
        </w:rPr>
        <w:t>Tcd</w:t>
      </w:r>
      <w:proofErr w:type="spellEnd"/>
      <w:r w:rsidRPr="00531909">
        <w:rPr>
          <w:rFonts w:cs="Helvetica-Bold"/>
          <w:b/>
          <w:bCs/>
          <w:szCs w:val="20"/>
        </w:rPr>
        <w:t xml:space="preserve">: Charged detection time. </w:t>
      </w:r>
      <w:r w:rsidRPr="00531909">
        <w:rPr>
          <w:rFonts w:cs="Helvetica"/>
          <w:szCs w:val="20"/>
        </w:rPr>
        <w:t>This is the time the charged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parameters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 xml:space="preserve">(It and </w:t>
      </w:r>
      <w:proofErr w:type="spellStart"/>
      <w:proofErr w:type="gramStart"/>
      <w:r w:rsidRPr="00531909">
        <w:rPr>
          <w:rFonts w:cs="Helvetica"/>
          <w:szCs w:val="20"/>
        </w:rPr>
        <w:t>Vc</w:t>
      </w:r>
      <w:proofErr w:type="spellEnd"/>
      <w:proofErr w:type="gramEnd"/>
      <w:r w:rsidRPr="00531909">
        <w:rPr>
          <w:rFonts w:cs="Helvetica"/>
          <w:szCs w:val="20"/>
        </w:rPr>
        <w:t>) must be met, in order for the battery to be</w:t>
      </w:r>
      <w:r w:rsidR="00531909" w:rsidRPr="00531909">
        <w:rPr>
          <w:rFonts w:cs="Helvetica"/>
          <w:szCs w:val="20"/>
        </w:rPr>
        <w:t xml:space="preserve"> </w:t>
      </w:r>
      <w:r w:rsidRPr="00531909">
        <w:rPr>
          <w:rFonts w:cs="Helvetica"/>
          <w:szCs w:val="20"/>
        </w:rPr>
        <w:t>considered fully charged.</w:t>
      </w: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  <w:r>
        <w:rPr>
          <w:rFonts w:cs="Helvetica"/>
          <w:szCs w:val="20"/>
        </w:rPr>
        <w:t xml:space="preserve">To summarize these settings, the BMV looks at both the </w:t>
      </w:r>
      <w:r w:rsidRPr="00531909">
        <w:rPr>
          <w:rFonts w:cs="Helvetica"/>
          <w:b/>
          <w:szCs w:val="20"/>
        </w:rPr>
        <w:t>VC</w:t>
      </w:r>
      <w:r>
        <w:rPr>
          <w:rFonts w:cs="Helvetica"/>
          <w:szCs w:val="20"/>
        </w:rPr>
        <w:t xml:space="preserve"> and </w:t>
      </w:r>
      <w:r w:rsidRPr="00531909">
        <w:rPr>
          <w:rFonts w:cs="Helvetica"/>
          <w:b/>
          <w:szCs w:val="20"/>
        </w:rPr>
        <w:t>It</w:t>
      </w:r>
      <w:r>
        <w:rPr>
          <w:rFonts w:cs="Helvetica"/>
          <w:szCs w:val="20"/>
        </w:rPr>
        <w:t xml:space="preserve"> settings and when these conditions are met for the time set in </w:t>
      </w:r>
      <w:proofErr w:type="spellStart"/>
      <w:r w:rsidRPr="00531909">
        <w:rPr>
          <w:rFonts w:cs="Helvetica"/>
          <w:b/>
          <w:szCs w:val="20"/>
        </w:rPr>
        <w:t>Tcd</w:t>
      </w:r>
      <w:proofErr w:type="spellEnd"/>
      <w:r>
        <w:rPr>
          <w:rFonts w:cs="Helvetica"/>
          <w:szCs w:val="20"/>
        </w:rPr>
        <w:t xml:space="preserve"> the BMV will assume the SOC is 100%.</w:t>
      </w: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szCs w:val="20"/>
        </w:rPr>
      </w:pPr>
    </w:p>
    <w:p w:rsidR="00531909" w:rsidRP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b/>
          <w:szCs w:val="20"/>
        </w:rPr>
      </w:pPr>
      <w:r w:rsidRPr="00531909">
        <w:rPr>
          <w:rFonts w:cs="Helvetica"/>
          <w:b/>
          <w:szCs w:val="20"/>
        </w:rPr>
        <w:t>The default settings for each are as follows:</w:t>
      </w:r>
    </w:p>
    <w:p w:rsidR="00531909" w:rsidRPr="00531909" w:rsidRDefault="00531909" w:rsidP="00531909">
      <w:pPr>
        <w:autoSpaceDE w:val="0"/>
        <w:autoSpaceDN w:val="0"/>
        <w:adjustRightInd w:val="0"/>
        <w:spacing w:after="0" w:line="240" w:lineRule="auto"/>
        <w:rPr>
          <w:rFonts w:cs="Helvetica"/>
          <w:b/>
          <w:szCs w:val="20"/>
        </w:rPr>
      </w:pPr>
    </w:p>
    <w:p w:rsidR="00531909" w:rsidRPr="00531909" w:rsidRDefault="00531909" w:rsidP="0053190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31909">
        <w:rPr>
          <w:b/>
          <w:sz w:val="24"/>
        </w:rPr>
        <w:t>Name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Range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Default</w:t>
      </w:r>
      <w:r w:rsidRPr="00531909">
        <w:rPr>
          <w:b/>
          <w:sz w:val="24"/>
        </w:rPr>
        <w:tab/>
        <w:t>Unit</w:t>
      </w:r>
    </w:p>
    <w:p w:rsidR="00531909" w:rsidRPr="00531909" w:rsidRDefault="00531909" w:rsidP="0053190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531909" w:rsidRPr="00531909" w:rsidRDefault="00531909" w:rsidP="0053190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proofErr w:type="spellStart"/>
      <w:proofErr w:type="gramStart"/>
      <w:r w:rsidRPr="00531909">
        <w:rPr>
          <w:b/>
          <w:sz w:val="24"/>
        </w:rPr>
        <w:t>Vc</w:t>
      </w:r>
      <w:proofErr w:type="spellEnd"/>
      <w:proofErr w:type="gramEnd"/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0-90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13.2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V</w:t>
      </w:r>
    </w:p>
    <w:p w:rsidR="00531909" w:rsidRPr="00531909" w:rsidRDefault="00531909" w:rsidP="0053190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31909">
        <w:rPr>
          <w:b/>
          <w:sz w:val="24"/>
        </w:rPr>
        <w:t>It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0.5 – 10</w:t>
      </w:r>
      <w:r w:rsidRPr="00531909">
        <w:rPr>
          <w:b/>
          <w:sz w:val="24"/>
        </w:rPr>
        <w:tab/>
        <w:t>4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%</w:t>
      </w: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proofErr w:type="spellStart"/>
      <w:r w:rsidRPr="00531909">
        <w:rPr>
          <w:b/>
          <w:sz w:val="24"/>
        </w:rPr>
        <w:t>Tcd</w:t>
      </w:r>
      <w:proofErr w:type="spellEnd"/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1-50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3</w:t>
      </w:r>
      <w:r w:rsidRPr="00531909">
        <w:rPr>
          <w:b/>
          <w:sz w:val="24"/>
        </w:rPr>
        <w:tab/>
      </w:r>
      <w:r w:rsidRPr="00531909">
        <w:rPr>
          <w:b/>
          <w:sz w:val="24"/>
        </w:rPr>
        <w:tab/>
        <w:t>Min.</w:t>
      </w: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:rsidR="00531909" w:rsidRDefault="00531909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531909">
        <w:rPr>
          <w:sz w:val="24"/>
        </w:rPr>
        <w:t>Taking our example system above</w:t>
      </w:r>
      <w:r w:rsidR="0002670F">
        <w:rPr>
          <w:sz w:val="24"/>
        </w:rPr>
        <w:t xml:space="preserve"> we can see the following issues that can arise when the default settings have not been changed.</w:t>
      </w: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If after a night time cycle the battery SOC is 65% and the next morning the sun comes up and starts to charge the battery bank, we are assuming there is no other discharge taking place for the first 2 hours. </w:t>
      </w: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The charge current will not go to maximum because of sunlight and in turn the battery voltage will not rise to absorption level very quickly.</w:t>
      </w: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The situation now occurs that the battery voltage and charge current can settle within the default settings of the above settings for SOC synchronization to 100%!</w:t>
      </w: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How do we prevent this from happening, usually the </w:t>
      </w:r>
      <w:proofErr w:type="spellStart"/>
      <w:proofErr w:type="gramStart"/>
      <w:r>
        <w:rPr>
          <w:sz w:val="24"/>
        </w:rPr>
        <w:t>Vc</w:t>
      </w:r>
      <w:proofErr w:type="spellEnd"/>
      <w:proofErr w:type="gramEnd"/>
      <w:r>
        <w:rPr>
          <w:sz w:val="24"/>
        </w:rPr>
        <w:t xml:space="preserve"> settings must be adapted to the battery bank voltage whether 12/24/48V, keeping it just below float level is advised. </w:t>
      </w:r>
      <w:proofErr w:type="gramStart"/>
      <w:r>
        <w:rPr>
          <w:sz w:val="24"/>
        </w:rPr>
        <w:t>The It</w:t>
      </w:r>
      <w:proofErr w:type="gramEnd"/>
      <w:r>
        <w:rPr>
          <w:sz w:val="24"/>
        </w:rPr>
        <w:t xml:space="preserve"> level is most often changed, here the level can be lowered to a 1 or 2%, this depends on the battery capacity and the possible (installed solar charger size) charging that can take place.</w:t>
      </w: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Tcd</w:t>
      </w:r>
      <w:proofErr w:type="spellEnd"/>
      <w:r>
        <w:rPr>
          <w:sz w:val="24"/>
        </w:rPr>
        <w:t xml:space="preserve"> is also increased to a longer time interval.</w:t>
      </w:r>
    </w:p>
    <w:p w:rsidR="00BD7D6A" w:rsidRDefault="00BD7D6A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D7D6A" w:rsidRPr="00BD7D6A" w:rsidRDefault="00BD7D6A" w:rsidP="00531909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BD7D6A">
        <w:rPr>
          <w:b/>
          <w:sz w:val="24"/>
        </w:rPr>
        <w:t>It is important to remember when during the charging process the battery monitor reads a negative current or discharge the whole process is reset.</w:t>
      </w: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02670F" w:rsidRDefault="0002670F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When these settings are made, careful attention must be paid to how power is used on the site, if there is a constant discharge then the battery voltage will increase very slowly</w:t>
      </w:r>
      <w:r w:rsidR="00BD7D6A">
        <w:rPr>
          <w:sz w:val="24"/>
        </w:rPr>
        <w:t xml:space="preserve"> as the sun rises. If the main power usage is at night then more charging will take place into the battery and the voltage will react differently.</w:t>
      </w:r>
    </w:p>
    <w:p w:rsidR="00BD7D6A" w:rsidRDefault="00BD7D6A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:rsidR="00BD7D6A" w:rsidRPr="00531909" w:rsidRDefault="00BD7D6A" w:rsidP="00531909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>It is not always the case that the first settings made work</w:t>
      </w:r>
      <w:bookmarkStart w:id="0" w:name="_GoBack"/>
      <w:bookmarkEnd w:id="0"/>
      <w:r>
        <w:rPr>
          <w:sz w:val="24"/>
        </w:rPr>
        <w:t xml:space="preserve"> perfectly.</w:t>
      </w:r>
    </w:p>
    <w:sectPr w:rsidR="00BD7D6A" w:rsidRPr="0053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C4507"/>
    <w:multiLevelType w:val="hybridMultilevel"/>
    <w:tmpl w:val="09263F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FC"/>
    <w:rsid w:val="000249E8"/>
    <w:rsid w:val="0002670F"/>
    <w:rsid w:val="00063374"/>
    <w:rsid w:val="00067DA7"/>
    <w:rsid w:val="000B5EE2"/>
    <w:rsid w:val="000E0274"/>
    <w:rsid w:val="00193541"/>
    <w:rsid w:val="001B2E9A"/>
    <w:rsid w:val="001B3280"/>
    <w:rsid w:val="001E07FB"/>
    <w:rsid w:val="002021FC"/>
    <w:rsid w:val="00222CEA"/>
    <w:rsid w:val="002815F6"/>
    <w:rsid w:val="002E0D8D"/>
    <w:rsid w:val="002F08F0"/>
    <w:rsid w:val="002F63F9"/>
    <w:rsid w:val="0034068D"/>
    <w:rsid w:val="003601E8"/>
    <w:rsid w:val="00366D4A"/>
    <w:rsid w:val="003757A1"/>
    <w:rsid w:val="003B2F8F"/>
    <w:rsid w:val="004159EC"/>
    <w:rsid w:val="004176C6"/>
    <w:rsid w:val="0042313F"/>
    <w:rsid w:val="00485309"/>
    <w:rsid w:val="0050184D"/>
    <w:rsid w:val="00531909"/>
    <w:rsid w:val="00653F80"/>
    <w:rsid w:val="00654B33"/>
    <w:rsid w:val="00791885"/>
    <w:rsid w:val="0079790D"/>
    <w:rsid w:val="007F3B78"/>
    <w:rsid w:val="00860DF3"/>
    <w:rsid w:val="00870298"/>
    <w:rsid w:val="008B7C14"/>
    <w:rsid w:val="009422E5"/>
    <w:rsid w:val="00A01A70"/>
    <w:rsid w:val="00A11778"/>
    <w:rsid w:val="00A20C54"/>
    <w:rsid w:val="00A469D1"/>
    <w:rsid w:val="00A94E57"/>
    <w:rsid w:val="00AA263C"/>
    <w:rsid w:val="00AA6976"/>
    <w:rsid w:val="00AE4843"/>
    <w:rsid w:val="00BD7D6A"/>
    <w:rsid w:val="00C154B1"/>
    <w:rsid w:val="00C33657"/>
    <w:rsid w:val="00C7068C"/>
    <w:rsid w:val="00C82215"/>
    <w:rsid w:val="00CD0F3C"/>
    <w:rsid w:val="00D04792"/>
    <w:rsid w:val="00D25889"/>
    <w:rsid w:val="00D400B2"/>
    <w:rsid w:val="00DF5E8F"/>
    <w:rsid w:val="00E46F42"/>
    <w:rsid w:val="00EC4A08"/>
    <w:rsid w:val="00FA5630"/>
    <w:rsid w:val="00FB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 RandVE</dc:creator>
  <cp:keywords/>
  <dc:description/>
  <cp:lastModifiedBy>Andre du RandVE</cp:lastModifiedBy>
  <cp:revision>2</cp:revision>
  <dcterms:created xsi:type="dcterms:W3CDTF">2013-07-03T06:58:00Z</dcterms:created>
  <dcterms:modified xsi:type="dcterms:W3CDTF">2013-07-03T07:35:00Z</dcterms:modified>
</cp:coreProperties>
</file>